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0" w:line="592" w:lineRule="exact"/>
        <w:rPr>
          <w:rFonts w:hint="default" w:ascii="Times New Roman" w:hAnsi="Times New Roman" w:eastAsia="黑体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  <w:shd w:val="clear" w:color="auto" w:fill="FFFFFF"/>
        </w:rPr>
        <w:t>1</w:t>
      </w:r>
    </w:p>
    <w:p>
      <w:pPr>
        <w:spacing w:afterLines="0" w:line="592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vertAlign w:val="baseli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专家行业领域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、业务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分类表（参考）</w:t>
      </w:r>
    </w:p>
    <w:bookmarkEnd w:id="0"/>
    <w:tbl>
      <w:tblPr>
        <w:tblStyle w:val="4"/>
        <w:tblW w:w="13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630"/>
        <w:gridCol w:w="7870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30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7870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  <w:t>行业领域具体分类</w:t>
            </w:r>
          </w:p>
        </w:tc>
        <w:tc>
          <w:tcPr>
            <w:tcW w:w="2384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  <w:t>业务类别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03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spacing w:afterLines="0"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安全生产</w:t>
            </w:r>
          </w:p>
        </w:tc>
        <w:tc>
          <w:tcPr>
            <w:tcW w:w="7870" w:type="dxa"/>
            <w:vAlign w:val="center"/>
          </w:tcPr>
          <w:p>
            <w:pPr>
              <w:widowControl/>
              <w:spacing w:afterLines="0" w:line="4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包括石油化工（危险化学品）、工贸（含建材、机械、轻工、纺织）、非煤矿山、烟花爆竹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及民爆物品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建筑施工（房屋建筑、土木工程建筑、建筑安装、建筑装饰装修和其他建筑）、交通运输（含水上交通）、公共安全、渔业生产、消防安全、城市生命线（电力、燃气、供水、排水、热力、桥梁、地下管廊）、特种设备；特种作业（电工、高处作业、焊工）</w:t>
            </w:r>
          </w:p>
        </w:tc>
        <w:tc>
          <w:tcPr>
            <w:tcW w:w="2384" w:type="dxa"/>
            <w:vMerge w:val="restart"/>
            <w:vAlign w:val="center"/>
          </w:tcPr>
          <w:p>
            <w:pPr>
              <w:widowControl/>
              <w:spacing w:afterLines="0"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1.咨询服务类（咨询、评审、评估等）；2.现场检查类（监管执法、检查、调研、踏勘等）；3.宣传培训类（应急宣教、舆情应对、培训、科普等）；4.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应急处置类；5.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事故调查类（安全生产、自然灾害）；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.法务类（法律咨询、行政执法）；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.专项服务类（安全发展示范城市创建）。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3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spacing w:afterLines="0"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防灾减灾救灾</w:t>
            </w:r>
          </w:p>
        </w:tc>
        <w:tc>
          <w:tcPr>
            <w:tcW w:w="787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Lines="0" w:line="400" w:lineRule="exact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气象、防汛抗旱、排涝、森林草原防灭火、地震地质、综合减灾、应急物资保障、灾情核查及管理、灾后救助、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保险（含安责险、巨灾险等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Lines="0" w:line="4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spacing w:afterLines="0"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应急管理</w:t>
            </w:r>
          </w:p>
        </w:tc>
        <w:tc>
          <w:tcPr>
            <w:tcW w:w="7870" w:type="dxa"/>
            <w:vAlign w:val="center"/>
          </w:tcPr>
          <w:p>
            <w:pPr>
              <w:widowControl/>
              <w:spacing w:afterLines="0"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应急预案、应急演练、队伍管理、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信息化、应急指挥、应急通信（有线通信、无线通信、无人机操控等）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应急救援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（安全生产事故救援、自然灾害应急救援、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水域救援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法律咨询（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政策法规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384" w:type="dxa"/>
            <w:vMerge w:val="continue"/>
            <w:vAlign w:val="center"/>
          </w:tcPr>
          <w:p>
            <w:pPr>
              <w:spacing w:afterLines="0" w:line="400" w:lineRule="exact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31" w:type="dxa"/>
          </w:tcPr>
          <w:p>
            <w:pPr>
              <w:spacing w:afterLines="0" w:line="592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30" w:type="dxa"/>
            <w:vAlign w:val="center"/>
          </w:tcPr>
          <w:p>
            <w:pPr>
              <w:spacing w:afterLines="0" w:line="400" w:lineRule="exact"/>
              <w:jc w:val="both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7870" w:type="dxa"/>
            <w:vAlign w:val="center"/>
          </w:tcPr>
          <w:p>
            <w:pPr>
              <w:spacing w:afterLines="0" w:line="400" w:lineRule="exact"/>
              <w:jc w:val="both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应急宣教、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安全文化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舆情应对、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党建、纪检、保密、工伤预防等</w:t>
            </w:r>
          </w:p>
        </w:tc>
        <w:tc>
          <w:tcPr>
            <w:tcW w:w="2384" w:type="dxa"/>
            <w:vMerge w:val="continue"/>
            <w:vAlign w:val="center"/>
          </w:tcPr>
          <w:p>
            <w:pPr>
              <w:spacing w:afterLines="0" w:line="400" w:lineRule="exact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spacing w:afterLines="0" w:line="592" w:lineRule="exact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-505460</wp:posOffset>
              </wp:positionH>
              <wp:positionV relativeFrom="paragraph">
                <wp:posOffset>-792480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9.8pt;margin-top:-62.4pt;height:144pt;width:144pt;mso-position-horizontal-relative:margin;mso-wrap-style:none;rotation:5898240f;z-index:251659264;mso-width-relative:page;mso-height-relative:page;" filled="f" stroked="f" coordsize="21600,21600" o:gfxdata="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PMnjtkAAAAMAQAADwAAAAAAAAABACAAAAAiAAAAZHJzL2Rv&#10;d25yZXYueG1sUEsBAhQAFAAAAAgAh07iQLTTqeE5AgAAbw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lhNGNjZTdmOTE3ZTJiMmQ1ZjI3YTlhOTI4MjkifQ=="/>
  </w:docVars>
  <w:rsids>
    <w:rsidRoot w:val="25DB02FE"/>
    <w:rsid w:val="25D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2024-05-31T09:18:00Z</dcterms:created>
  <dc:creator>这边有改动</dc:creator>
  <cp:lastModifiedBy>这边有改动</cp:lastModifiedBy>
  <dcterms:modified xsi:type="dcterms:W3CDTF">2024-05-31T09:18:44Z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EDF2A3FCA28B4EE1ACDC01B8861F0433_11</vt:lpwstr>
  </property>
</Properties>
</file>